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>
        <w:rPr>
          <w:rFonts w:eastAsia="Times New Roman" w:cs="Times New Roman"/>
          <w:color w:val="464646"/>
          <w:sz w:val="28"/>
          <w:szCs w:val="28"/>
          <w:lang w:eastAsia="ru-RU"/>
        </w:rPr>
        <w:t>Н</w:t>
      </w: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а основании федерального закона РФ «Об образовании в Российской Федерации»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не образовательного характера.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bookmarkStart w:id="0" w:name="_GoBack"/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Ссылки на официальные сайты:</w:t>
      </w:r>
    </w:p>
    <w:bookmarkEnd w:id="0"/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4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https://minobrnauki.gov.ru/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Министерство просвещения Российской Федерации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5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https://edu.gov.ru/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 xml:space="preserve">Министерство образования и науки Республики Тыва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hyperlink r:id="rId6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http://www.monrt.ru/</w:t>
        </w:r>
      </w:hyperlink>
      <w:r>
        <w:rPr>
          <w:rFonts w:eastAsia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Официальный сайт Президента России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7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http://kremlin.ru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Правительство России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8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http://www.government.ru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 xml:space="preserve">Совет Федерации Федерального Собрания Российской Федерации </w:t>
      </w:r>
      <w:hyperlink r:id="rId9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http://www.council.gov.ru</w:t>
        </w:r>
      </w:hyperlink>
      <w:r>
        <w:rPr>
          <w:rFonts w:eastAsia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Государственная Дума Федерального Собрания Российской Федерации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0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http://www.duma.gov.ru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Федеральный портал государственной службы и управленческих кадров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1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http://www.gossluzhba.gov.ru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Портал государственных услуг</w:t>
      </w:r>
      <w:r>
        <w:rPr>
          <w:rFonts w:eastAsia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2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http://www.gosuslugi.ru/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Стратегия государственной антинаркотической политики Российской Федерации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3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http://www.stratgap.ru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lastRenderedPageBreak/>
        <w:t>Официальный портал Республики Тыва</w:t>
      </w:r>
    </w:p>
    <w:p w:rsidR="00ED209D" w:rsidRPr="00ED209D" w:rsidRDefault="00ED209D" w:rsidP="00ED209D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hyperlink r:id="rId14" w:history="1">
        <w:r w:rsidRPr="00816AE6">
          <w:rPr>
            <w:rStyle w:val="a3"/>
            <w:rFonts w:eastAsia="Times New Roman" w:cs="Times New Roman"/>
            <w:sz w:val="28"/>
            <w:szCs w:val="28"/>
            <w:lang w:eastAsia="ru-RU"/>
          </w:rPr>
          <w:t>http://rtyva.ru/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Перечень электронных образовательных ресурсов, к которым учащиеся имеют неограниченный доступ: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Федеральный портал «Российское образование»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Федеральный центр информационно-образовательных ресурсов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Единая коллекция цифровых образовательных ресурсов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Единое окно доступа к образовательным ресурсам</w:t>
      </w:r>
    </w:p>
    <w:p w:rsidR="00ED209D" w:rsidRPr="00ED209D" w:rsidRDefault="00ED209D" w:rsidP="00ED209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 w:cs="Times New Roman"/>
          <w:color w:val="464646"/>
          <w:sz w:val="28"/>
          <w:szCs w:val="28"/>
          <w:lang w:eastAsia="ru-RU"/>
        </w:rPr>
      </w:pPr>
      <w:r w:rsidRPr="00ED209D">
        <w:rPr>
          <w:rFonts w:eastAsia="Times New Roman" w:cs="Times New Roman"/>
          <w:color w:val="464646"/>
          <w:sz w:val="28"/>
          <w:szCs w:val="28"/>
          <w:lang w:eastAsia="ru-RU"/>
        </w:rPr>
        <w:t>А также полезные образовательные ресурсы:</w:t>
      </w:r>
    </w:p>
    <w:p w:rsidR="00664F05" w:rsidRPr="00ED209D" w:rsidRDefault="00ED209D" w:rsidP="00ED209D">
      <w:pPr>
        <w:ind w:firstLine="567"/>
        <w:jc w:val="both"/>
        <w:rPr>
          <w:rFonts w:cs="Times New Roman"/>
          <w:sz w:val="28"/>
          <w:szCs w:val="28"/>
        </w:rPr>
      </w:pPr>
    </w:p>
    <w:sectPr w:rsidR="00664F05" w:rsidRPr="00ED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9D"/>
    <w:rsid w:val="002E6D16"/>
    <w:rsid w:val="0054450B"/>
    <w:rsid w:val="00E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3E80"/>
  <w15:chartTrackingRefBased/>
  <w15:docId w15:val="{3F8C9526-74CA-4E2C-AA04-CA9EDFDA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ernment.ru" TargetMode="External"/><Relationship Id="rId13" Type="http://schemas.openxmlformats.org/officeDocument/2006/relationships/hyperlink" Target="http://www.stratga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emlin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onrt.ru/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uma.gov.ru" TargetMode="External"/><Relationship Id="rId4" Type="http://schemas.openxmlformats.org/officeDocument/2006/relationships/hyperlink" Target="https://minobrnauki.gov.ru/" TargetMode="External"/><Relationship Id="rId9" Type="http://schemas.openxmlformats.org/officeDocument/2006/relationships/hyperlink" Target="http://www.council.gov.ru" TargetMode="External"/><Relationship Id="rId14" Type="http://schemas.openxmlformats.org/officeDocument/2006/relationships/hyperlink" Target="http://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 Кунзен-оол</dc:creator>
  <cp:keywords/>
  <dc:description/>
  <cp:lastModifiedBy>Темир Кунзен-оол</cp:lastModifiedBy>
  <cp:revision>2</cp:revision>
  <dcterms:created xsi:type="dcterms:W3CDTF">2020-10-19T17:06:00Z</dcterms:created>
  <dcterms:modified xsi:type="dcterms:W3CDTF">2020-10-19T17:08:00Z</dcterms:modified>
</cp:coreProperties>
</file>