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4F" w:rsidRDefault="00C9504F" w:rsidP="00807B18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053E8" w:rsidRDefault="00E053E8" w:rsidP="00807B18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04F" w:rsidRPr="002C3F72" w:rsidRDefault="00C9504F" w:rsidP="00807B18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C9504F" w:rsidRPr="002C3F72" w:rsidRDefault="00C9504F" w:rsidP="00807B18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F72">
        <w:rPr>
          <w:rFonts w:ascii="Times New Roman" w:hAnsi="Times New Roman" w:cs="Times New Roman"/>
          <w:b/>
          <w:sz w:val="28"/>
          <w:szCs w:val="28"/>
        </w:rPr>
        <w:t>о соблюдении требований пожарной безопасности на объектах проведения новогодних праздничных мероприятий</w:t>
      </w:r>
    </w:p>
    <w:p w:rsidR="00C9504F" w:rsidRDefault="00C9504F" w:rsidP="00807B1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C1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04F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6C1CCA">
        <w:rPr>
          <w:rFonts w:ascii="Times New Roman" w:hAnsi="Times New Roman" w:cs="Times New Roman"/>
          <w:sz w:val="28"/>
          <w:szCs w:val="28"/>
        </w:rPr>
        <w:t xml:space="preserve">В целях безопасной организации проведения новогодних праздничных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на объектах </w:t>
      </w:r>
      <w:r w:rsidRPr="006C1CCA">
        <w:rPr>
          <w:rFonts w:ascii="Times New Roman" w:hAnsi="Times New Roman" w:cs="Times New Roman"/>
          <w:sz w:val="28"/>
          <w:szCs w:val="28"/>
        </w:rPr>
        <w:t>необходимо руководствоваться нормативно-правовыми док</w:t>
      </w:r>
      <w:bookmarkStart w:id="0" w:name="_GoBack"/>
      <w:bookmarkEnd w:id="0"/>
      <w:r w:rsidRPr="006C1CCA">
        <w:rPr>
          <w:rFonts w:ascii="Times New Roman" w:hAnsi="Times New Roman" w:cs="Times New Roman"/>
          <w:sz w:val="28"/>
          <w:szCs w:val="28"/>
        </w:rPr>
        <w:t>ументами в области обеспечения пожарной безопасности, а именно:</w:t>
      </w:r>
    </w:p>
    <w:p w:rsidR="00C9504F" w:rsidRPr="006C1CCA" w:rsidRDefault="00C9504F" w:rsidP="00807B18">
      <w:pPr>
        <w:pStyle w:val="ConsPlusNormal"/>
        <w:widowControl/>
        <w:numPr>
          <w:ilvl w:val="0"/>
          <w:numId w:val="3"/>
        </w:numPr>
        <w:ind w:left="0"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22 июля 2008 года №123-ФЗ «Технический регламент о требованиях пожарной безопасности»;</w:t>
      </w:r>
      <w:r w:rsidRPr="006C1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04F" w:rsidRDefault="00C9504F" w:rsidP="00807B18">
      <w:pPr>
        <w:pStyle w:val="ConsPlusNormal"/>
        <w:widowControl/>
        <w:numPr>
          <w:ilvl w:val="0"/>
          <w:numId w:val="3"/>
        </w:numPr>
        <w:ind w:left="0"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 апреля 2012г. №390 «О противопожарном режиме»;</w:t>
      </w:r>
    </w:p>
    <w:p w:rsidR="00C9504F" w:rsidRPr="006C1CCA" w:rsidRDefault="00C9504F" w:rsidP="00807B18">
      <w:pPr>
        <w:pStyle w:val="ConsPlusNormal"/>
        <w:widowControl/>
        <w:numPr>
          <w:ilvl w:val="0"/>
          <w:numId w:val="3"/>
        </w:numPr>
        <w:ind w:left="0"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 декабря 2010г. №1052 «Об утверждении требований пожарной безопасности при распространении и использовании пиротехнических изделий».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4C1473">
        <w:rPr>
          <w:rFonts w:ascii="Times New Roman" w:hAnsi="Times New Roman" w:cs="Times New Roman"/>
          <w:sz w:val="28"/>
          <w:szCs w:val="28"/>
        </w:rPr>
        <w:t>Устроители мероприятий с массовым участием людей (вечера, дискотеки, торжества вокруг новогодней елки, представления и т. п.), должны перед началом этих мероприятий тщательно осмотреть помещения и убедиться в их полной готовности в противопожарном отношении.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4C1473">
        <w:rPr>
          <w:rFonts w:ascii="Times New Roman" w:hAnsi="Times New Roman" w:cs="Times New Roman"/>
          <w:sz w:val="28"/>
          <w:szCs w:val="28"/>
        </w:rPr>
        <w:t>Число людей, одновременно находящихся в залах (помещениях) зданий и сооружений с массовым пребыванием людей (помещения с одновременным пребыванием 50 и более человек), не должно превышать количества, установленного нормами проектирования или определенного расчетом (при отсутствии норм проектирования), исходя из условия обеспечения безопасной эвакуации людей при пожаре.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473">
        <w:rPr>
          <w:rFonts w:ascii="Times New Roman" w:hAnsi="Times New Roman" w:cs="Times New Roman"/>
          <w:sz w:val="28"/>
          <w:szCs w:val="28"/>
        </w:rPr>
        <w:t>При определении максимально допустимого количества людей в помещении в указанных выше случаях следует принимать расчетную площадь, приходящуюся на одного человека, в размере 0,75 м2/чел. При этом размеры путей эвакуации и эвакуационных выходов должны обеспечивать эвакуацию людей за пределы зальных помещений в течение необходимого времени эвакуации людей.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4C1473">
        <w:rPr>
          <w:rFonts w:ascii="Times New Roman" w:hAnsi="Times New Roman" w:cs="Times New Roman"/>
          <w:sz w:val="28"/>
          <w:szCs w:val="28"/>
        </w:rPr>
        <w:t>В помещениях с одним эвакуационным выходом одновременное пребывание 50 и более человек не допускается.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4C1473">
        <w:rPr>
          <w:rFonts w:ascii="Times New Roman" w:hAnsi="Times New Roman" w:cs="Times New Roman"/>
          <w:sz w:val="28"/>
          <w:szCs w:val="28"/>
        </w:rPr>
        <w:t>В зданиях IV и V степени огнестойкости одновременное пребывание 50 и более человек допускается только в помещениях первого этажа.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473">
        <w:rPr>
          <w:rFonts w:ascii="Times New Roman" w:hAnsi="Times New Roman" w:cs="Times New Roman"/>
          <w:b/>
          <w:sz w:val="28"/>
          <w:szCs w:val="28"/>
        </w:rPr>
        <w:t>При организации и проведении новогодних праздников и других мероприятий с массовым пребыванием людей: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допускается использовать только помещения, обеспеченные не менее чем двумя эвакуационными выходами, отвечающими требованиям норм проектирования, не имеющие на окнах решеток и расположенные не выше 2 этажа в зданиях с горючими перекрытиями;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елка должна устанавливаться на устойчивом основании и с таким расчетом, чтобы ветви не касались стен и потолка</w:t>
      </w:r>
      <w:r>
        <w:rPr>
          <w:rFonts w:ascii="Times New Roman" w:hAnsi="Times New Roman" w:cs="Times New Roman"/>
          <w:sz w:val="28"/>
          <w:szCs w:val="28"/>
        </w:rPr>
        <w:t xml:space="preserve"> на расстоянии 1 метра</w:t>
      </w:r>
      <w:r w:rsidRPr="004C1473">
        <w:rPr>
          <w:rFonts w:ascii="Times New Roman" w:hAnsi="Times New Roman" w:cs="Times New Roman"/>
          <w:sz w:val="28"/>
          <w:szCs w:val="28"/>
        </w:rPr>
        <w:t>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при отсутствии в помещении электрического освещения мероприятия у елки должны проводиться только в светлое время суток;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 xml:space="preserve">иллюминация должна быть выполнена с соблюдением </w:t>
      </w:r>
      <w:r>
        <w:rPr>
          <w:rFonts w:ascii="Times New Roman" w:hAnsi="Times New Roman" w:cs="Times New Roman"/>
          <w:sz w:val="28"/>
          <w:szCs w:val="28"/>
        </w:rPr>
        <w:t>Правил устройства электроустановок</w:t>
      </w:r>
      <w:r w:rsidRPr="004C1473">
        <w:rPr>
          <w:rFonts w:ascii="Times New Roman" w:hAnsi="Times New Roman" w:cs="Times New Roman"/>
          <w:sz w:val="28"/>
          <w:szCs w:val="28"/>
        </w:rPr>
        <w:t>.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 В. Мощность лампочек не должна превышать 25 Вт;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при обнаружении неисправности в иллюминации (нагрев проводов, мигание лампочек, искрение и т. п.) она должна быть немедленно обесточена.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473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проведение мероприятий при запертых распашных решетках на окнах помещений, в которых они проводятся;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применять дуговые прожекторы, свечи и хлопушки, устраивать фейерверки и другие световые пожароопасные эффекты, которые могут привести к пожару;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украшать елку целлулоидными игрушками, а также марлей и ватой, не пропитанными огнезащитными составами;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одевать детей в костюмы из легкогорючих материалов;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проводить огневые, покрасочные и другие пожароопасные и взрывопожароопасные работы;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использовать ставни на окнах для затемнения помещений;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уменьшать ширину проходов между рядами и устанавливать в проходах дополнительные кресла, стулья и т. п.;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полностью гасить свет в помещении во время спектаклей или представлений;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допускать заполнение помещений людьми сверх установленной нормы.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4C1473">
        <w:rPr>
          <w:rFonts w:ascii="Times New Roman" w:hAnsi="Times New Roman" w:cs="Times New Roman"/>
          <w:sz w:val="28"/>
          <w:szCs w:val="28"/>
        </w:rPr>
        <w:t>При проведении мероприятий должно быть организовано дежурство на сцене и в зальных помещениях ответственных лиц, членов добровольных пожарных формирований.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4C1473">
        <w:rPr>
          <w:rFonts w:ascii="Times New Roman" w:hAnsi="Times New Roman" w:cs="Times New Roman"/>
          <w:sz w:val="28"/>
          <w:szCs w:val="28"/>
        </w:rPr>
        <w:t>Двери на путях эвакуации должны открываться свободно и по направлению выхода из здания, за исключением дверей, открывание которых не нормируется требованиями нормативных документов по пожарной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473">
        <w:rPr>
          <w:rFonts w:ascii="Times New Roman" w:hAnsi="Times New Roman" w:cs="Times New Roman"/>
          <w:sz w:val="28"/>
          <w:szCs w:val="28"/>
        </w:rPr>
        <w:t>Запоры на дверях эвакуационных выходов должны обеспечивать людям, находящимся внутри здания (сооружения), возможность свободного открывания запоров изнутри без ключа.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4C1473">
        <w:rPr>
          <w:rFonts w:ascii="Times New Roman" w:hAnsi="Times New Roman" w:cs="Times New Roman"/>
          <w:sz w:val="28"/>
          <w:szCs w:val="28"/>
        </w:rPr>
        <w:t>При эксплуатации эвакуационных путей и выходов запрещается: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загромождать эвакуационные пути и выходы (в том числе проходы,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забивать двери эвакуационных выходов;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устраивать в тамбурах выходов  сушилки и вешалки для одежды, гардеробы, а также хранить (в том числе временно) инвентарь и материалы;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 xml:space="preserve">устраивать на путях эвакуации пороги (за исключением порогов в дверных проемах), раздвижные и подъемно-опускные двери и ворота, </w:t>
      </w:r>
      <w:r w:rsidRPr="004C1473">
        <w:rPr>
          <w:rFonts w:ascii="Times New Roman" w:hAnsi="Times New Roman" w:cs="Times New Roman"/>
          <w:sz w:val="28"/>
          <w:szCs w:val="28"/>
        </w:rPr>
        <w:lastRenderedPageBreak/>
        <w:t>вращающиеся двери и турникеты, а также другие устройства, препятствующие свободной эвакуации людей;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применять горючие материалы для отделки, облицовки и окраски стен и потолков, а также ступеней и лестничных площадок на путях эвакуации (кроме зданий V степени огнестойкости);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фиксировать самозакрывающиеся двери лестничных клеток, коридоров, холлов и тамбуров в открытом положении (если для этих целей не используются автоматические устройства, срабатывающие при пожаре), а также снимать их;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остеклять или закрывать жалюзи воздушных зон в незадымляемых лестничных клетках;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473">
        <w:rPr>
          <w:rFonts w:ascii="Times New Roman" w:hAnsi="Times New Roman" w:cs="Times New Roman"/>
          <w:sz w:val="28"/>
          <w:szCs w:val="28"/>
        </w:rPr>
        <w:t>заменять армированное стекло обычным в остеклениях дверей и фрамуг.</w:t>
      </w:r>
    </w:p>
    <w:p w:rsidR="00C9504F" w:rsidRPr="004C1473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4C1473">
        <w:rPr>
          <w:rFonts w:ascii="Times New Roman" w:hAnsi="Times New Roman" w:cs="Times New Roman"/>
          <w:sz w:val="28"/>
          <w:szCs w:val="28"/>
        </w:rPr>
        <w:t>В зданиях с массовым пребыванием людей на случай отключения электроэнергии у обслуживающего персонала должны быть электрические фонари. Количество фонарей определяется руководителем, исходя из особенностей объекта, наличия дежурного персонала, количества людей в здании, но не менее одного на каждого работника дежурного персонала.</w:t>
      </w:r>
    </w:p>
    <w:p w:rsidR="00C9504F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4C1473">
        <w:rPr>
          <w:rFonts w:ascii="Times New Roman" w:hAnsi="Times New Roman" w:cs="Times New Roman"/>
          <w:sz w:val="28"/>
          <w:szCs w:val="28"/>
        </w:rPr>
        <w:t>Ковры, ковровые дорожки и другие покрытия полов в помещениях с массовым пребыванием людей должны надежно крепиться к полу.</w:t>
      </w:r>
    </w:p>
    <w:p w:rsidR="00C9504F" w:rsidRPr="00001395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001395">
        <w:rPr>
          <w:rFonts w:ascii="Times New Roman" w:hAnsi="Times New Roman" w:cs="Times New Roman"/>
          <w:sz w:val="28"/>
          <w:szCs w:val="28"/>
        </w:rPr>
        <w:t>Применение пиротехнической продукции должно осуществляться в соответствии с требованиями инструкции (руководства) по эксплуатации завода-изготовителя. При этом инструкция должна содержать требования пожарной безопасности к такому пиротехническому изделию.</w:t>
      </w:r>
    </w:p>
    <w:p w:rsidR="00C9504F" w:rsidRPr="00001395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395">
        <w:rPr>
          <w:rFonts w:ascii="Times New Roman" w:hAnsi="Times New Roman" w:cs="Times New Roman"/>
          <w:b/>
          <w:sz w:val="28"/>
          <w:szCs w:val="28"/>
        </w:rPr>
        <w:t>Применение пиротехнических изделий запрещается:</w:t>
      </w:r>
    </w:p>
    <w:p w:rsidR="00C9504F" w:rsidRPr="00001395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1395">
        <w:rPr>
          <w:rFonts w:ascii="Times New Roman" w:hAnsi="Times New Roman" w:cs="Times New Roman"/>
          <w:sz w:val="28"/>
          <w:szCs w:val="28"/>
        </w:rPr>
        <w:t>в помещениях, зданиях и сооружениях любого функционального назначения;</w:t>
      </w:r>
    </w:p>
    <w:p w:rsidR="00C9504F" w:rsidRPr="00001395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1395">
        <w:rPr>
          <w:rFonts w:ascii="Times New Roman" w:hAnsi="Times New Roman" w:cs="Times New Roman"/>
          <w:sz w:val="28"/>
          <w:szCs w:val="28"/>
        </w:rPr>
        <w:t>на территориях взрывоопасных и пожароопасных объектов и линий высоковольтной электропередачи;</w:t>
      </w:r>
    </w:p>
    <w:p w:rsidR="00C9504F" w:rsidRPr="00001395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1395">
        <w:rPr>
          <w:rFonts w:ascii="Times New Roman" w:hAnsi="Times New Roman" w:cs="Times New Roman"/>
          <w:sz w:val="28"/>
          <w:szCs w:val="28"/>
        </w:rPr>
        <w:t>на крышах, балконах, лоджиях и выступающих частях фасадов зданий (сооружений);</w:t>
      </w:r>
    </w:p>
    <w:p w:rsidR="00C9504F" w:rsidRPr="00001395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1395">
        <w:rPr>
          <w:rFonts w:ascii="Times New Roman" w:hAnsi="Times New Roman" w:cs="Times New Roman"/>
          <w:sz w:val="28"/>
          <w:szCs w:val="28"/>
        </w:rPr>
        <w:t>на сценических площадках, стадионах и иных спортивных сооружениях;</w:t>
      </w:r>
    </w:p>
    <w:p w:rsidR="00C9504F" w:rsidRPr="00001395" w:rsidRDefault="00C9504F" w:rsidP="00807B18">
      <w:pPr>
        <w:pStyle w:val="ConsPlusNormal"/>
        <w:widowControl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1395">
        <w:rPr>
          <w:rFonts w:ascii="Times New Roman" w:hAnsi="Times New Roman" w:cs="Times New Roman"/>
          <w:sz w:val="28"/>
          <w:szCs w:val="28"/>
        </w:rPr>
        <w:t>во время проведения митингов, демонстраций, шествий и пикетирования;</w:t>
      </w:r>
    </w:p>
    <w:p w:rsidR="00C9504F" w:rsidRDefault="00C9504F" w:rsidP="00807B18">
      <w:pPr>
        <w:tabs>
          <w:tab w:val="num" w:pos="800"/>
        </w:tabs>
        <w:ind w:firstLine="64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1395">
        <w:rPr>
          <w:sz w:val="28"/>
          <w:szCs w:val="28"/>
        </w:rPr>
        <w:t>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</w:t>
      </w:r>
      <w:r>
        <w:rPr>
          <w:sz w:val="28"/>
          <w:szCs w:val="28"/>
        </w:rPr>
        <w:t>.</w:t>
      </w:r>
      <w:r w:rsidRPr="00B35919">
        <w:rPr>
          <w:b/>
          <w:sz w:val="28"/>
          <w:szCs w:val="28"/>
        </w:rPr>
        <w:t xml:space="preserve">        </w:t>
      </w:r>
    </w:p>
    <w:p w:rsidR="00C9504F" w:rsidRPr="00E25A72" w:rsidRDefault="000F5A9A" w:rsidP="00807B18">
      <w:pPr>
        <w:tabs>
          <w:tab w:val="num" w:pos="800"/>
        </w:tabs>
        <w:ind w:firstLine="648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325745" cy="7556500"/>
            <wp:effectExtent l="0" t="0" r="8255" b="6350"/>
            <wp:docPr id="1" name="Рисунок 1" descr="новый год_обор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од_оборо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745" cy="75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p w:rsidR="00C9504F" w:rsidRDefault="00C9504F" w:rsidP="00807B18">
      <w:pPr>
        <w:suppressAutoHyphens/>
        <w:ind w:right="-83"/>
        <w:jc w:val="both"/>
      </w:pPr>
    </w:p>
    <w:sectPr w:rsidR="00C9504F" w:rsidSect="00807B18">
      <w:pgSz w:w="11906" w:h="16838" w:code="9"/>
      <w:pgMar w:top="1078" w:right="851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8F0"/>
    <w:multiLevelType w:val="hybridMultilevel"/>
    <w:tmpl w:val="6F7EC20C"/>
    <w:lvl w:ilvl="0" w:tplc="68EC85B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">
    <w:nsid w:val="35E54853"/>
    <w:multiLevelType w:val="hybridMultilevel"/>
    <w:tmpl w:val="AD229C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D814B1"/>
    <w:multiLevelType w:val="hybridMultilevel"/>
    <w:tmpl w:val="04860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4C"/>
    <w:rsid w:val="00001395"/>
    <w:rsid w:val="00001C26"/>
    <w:rsid w:val="0001146D"/>
    <w:rsid w:val="000156FC"/>
    <w:rsid w:val="0003736D"/>
    <w:rsid w:val="0003788C"/>
    <w:rsid w:val="000378CE"/>
    <w:rsid w:val="00045DE5"/>
    <w:rsid w:val="000553C1"/>
    <w:rsid w:val="00083F2F"/>
    <w:rsid w:val="00086726"/>
    <w:rsid w:val="00086EE9"/>
    <w:rsid w:val="000A6538"/>
    <w:rsid w:val="000B074C"/>
    <w:rsid w:val="000C625F"/>
    <w:rsid w:val="000D0082"/>
    <w:rsid w:val="000D7083"/>
    <w:rsid w:val="000E0200"/>
    <w:rsid w:val="000E398C"/>
    <w:rsid w:val="000E4E93"/>
    <w:rsid w:val="000E6625"/>
    <w:rsid w:val="000F25A1"/>
    <w:rsid w:val="000F5A9A"/>
    <w:rsid w:val="00103864"/>
    <w:rsid w:val="00104DD3"/>
    <w:rsid w:val="0011166B"/>
    <w:rsid w:val="001331FA"/>
    <w:rsid w:val="00133A85"/>
    <w:rsid w:val="00136099"/>
    <w:rsid w:val="00146EFE"/>
    <w:rsid w:val="001569A6"/>
    <w:rsid w:val="00164086"/>
    <w:rsid w:val="00166A6D"/>
    <w:rsid w:val="00166B4E"/>
    <w:rsid w:val="0017009F"/>
    <w:rsid w:val="00176720"/>
    <w:rsid w:val="00185961"/>
    <w:rsid w:val="001934A1"/>
    <w:rsid w:val="00193D9C"/>
    <w:rsid w:val="001A0B78"/>
    <w:rsid w:val="001A423E"/>
    <w:rsid w:val="001D3852"/>
    <w:rsid w:val="001D4B2E"/>
    <w:rsid w:val="001D5170"/>
    <w:rsid w:val="001E3A52"/>
    <w:rsid w:val="001F07FA"/>
    <w:rsid w:val="00214F2C"/>
    <w:rsid w:val="00220857"/>
    <w:rsid w:val="002232D9"/>
    <w:rsid w:val="00240525"/>
    <w:rsid w:val="00244C65"/>
    <w:rsid w:val="00267C0A"/>
    <w:rsid w:val="00270CA2"/>
    <w:rsid w:val="00291C84"/>
    <w:rsid w:val="00293FD9"/>
    <w:rsid w:val="00296DE4"/>
    <w:rsid w:val="00297951"/>
    <w:rsid w:val="00297B9E"/>
    <w:rsid w:val="002A01C8"/>
    <w:rsid w:val="002A086B"/>
    <w:rsid w:val="002B00D1"/>
    <w:rsid w:val="002C3F72"/>
    <w:rsid w:val="002D125A"/>
    <w:rsid w:val="002D6A66"/>
    <w:rsid w:val="002F7C4B"/>
    <w:rsid w:val="00317DC9"/>
    <w:rsid w:val="00325EE7"/>
    <w:rsid w:val="00330159"/>
    <w:rsid w:val="00331105"/>
    <w:rsid w:val="00332D91"/>
    <w:rsid w:val="003410B3"/>
    <w:rsid w:val="00360146"/>
    <w:rsid w:val="00363C7B"/>
    <w:rsid w:val="00370B57"/>
    <w:rsid w:val="0037251C"/>
    <w:rsid w:val="003726F5"/>
    <w:rsid w:val="0037363B"/>
    <w:rsid w:val="0037649C"/>
    <w:rsid w:val="003803BD"/>
    <w:rsid w:val="003971AB"/>
    <w:rsid w:val="003A169D"/>
    <w:rsid w:val="003A4236"/>
    <w:rsid w:val="003C3A44"/>
    <w:rsid w:val="003C5E1B"/>
    <w:rsid w:val="003C76A3"/>
    <w:rsid w:val="003E040F"/>
    <w:rsid w:val="003F687E"/>
    <w:rsid w:val="00400ECE"/>
    <w:rsid w:val="004023CB"/>
    <w:rsid w:val="004137AC"/>
    <w:rsid w:val="00435196"/>
    <w:rsid w:val="00440E08"/>
    <w:rsid w:val="00446631"/>
    <w:rsid w:val="00446D1B"/>
    <w:rsid w:val="00456986"/>
    <w:rsid w:val="00462581"/>
    <w:rsid w:val="0046525E"/>
    <w:rsid w:val="00473E85"/>
    <w:rsid w:val="00487837"/>
    <w:rsid w:val="00496185"/>
    <w:rsid w:val="004B62E6"/>
    <w:rsid w:val="004B7982"/>
    <w:rsid w:val="004C1473"/>
    <w:rsid w:val="004C477A"/>
    <w:rsid w:val="004C4B23"/>
    <w:rsid w:val="004D109A"/>
    <w:rsid w:val="004E5A81"/>
    <w:rsid w:val="005108BD"/>
    <w:rsid w:val="005113D9"/>
    <w:rsid w:val="005133CF"/>
    <w:rsid w:val="0052143B"/>
    <w:rsid w:val="005252E8"/>
    <w:rsid w:val="005273E8"/>
    <w:rsid w:val="00532D69"/>
    <w:rsid w:val="00552FD8"/>
    <w:rsid w:val="005551E0"/>
    <w:rsid w:val="0056737F"/>
    <w:rsid w:val="005777DA"/>
    <w:rsid w:val="00581222"/>
    <w:rsid w:val="0058384D"/>
    <w:rsid w:val="005858B9"/>
    <w:rsid w:val="00587E9C"/>
    <w:rsid w:val="00591AC3"/>
    <w:rsid w:val="00591B72"/>
    <w:rsid w:val="0059353C"/>
    <w:rsid w:val="005A110C"/>
    <w:rsid w:val="005A1CAF"/>
    <w:rsid w:val="005B79C8"/>
    <w:rsid w:val="005C236D"/>
    <w:rsid w:val="005C43BA"/>
    <w:rsid w:val="005E1C58"/>
    <w:rsid w:val="005F25FD"/>
    <w:rsid w:val="005F7651"/>
    <w:rsid w:val="0060033C"/>
    <w:rsid w:val="006108CF"/>
    <w:rsid w:val="00611C6E"/>
    <w:rsid w:val="00613912"/>
    <w:rsid w:val="00616B19"/>
    <w:rsid w:val="00621727"/>
    <w:rsid w:val="00627BDA"/>
    <w:rsid w:val="006539EA"/>
    <w:rsid w:val="006660F4"/>
    <w:rsid w:val="00671ED5"/>
    <w:rsid w:val="0067702E"/>
    <w:rsid w:val="00687679"/>
    <w:rsid w:val="006A069B"/>
    <w:rsid w:val="006B3204"/>
    <w:rsid w:val="006B37D3"/>
    <w:rsid w:val="006B5970"/>
    <w:rsid w:val="006C1C33"/>
    <w:rsid w:val="006C1CCA"/>
    <w:rsid w:val="006D2589"/>
    <w:rsid w:val="006D26EB"/>
    <w:rsid w:val="006D6FF1"/>
    <w:rsid w:val="006E1EF5"/>
    <w:rsid w:val="006F2E72"/>
    <w:rsid w:val="006F5949"/>
    <w:rsid w:val="0070788F"/>
    <w:rsid w:val="00713D61"/>
    <w:rsid w:val="00717C2B"/>
    <w:rsid w:val="00723005"/>
    <w:rsid w:val="007272E7"/>
    <w:rsid w:val="00732A48"/>
    <w:rsid w:val="00732C72"/>
    <w:rsid w:val="0073575F"/>
    <w:rsid w:val="0073761F"/>
    <w:rsid w:val="007411A3"/>
    <w:rsid w:val="00742FF1"/>
    <w:rsid w:val="00745148"/>
    <w:rsid w:val="00750B7E"/>
    <w:rsid w:val="0075490E"/>
    <w:rsid w:val="00776A51"/>
    <w:rsid w:val="00782A48"/>
    <w:rsid w:val="00791645"/>
    <w:rsid w:val="007A39B2"/>
    <w:rsid w:val="007B1976"/>
    <w:rsid w:val="007D09EA"/>
    <w:rsid w:val="007D32F4"/>
    <w:rsid w:val="007E3F09"/>
    <w:rsid w:val="007F3764"/>
    <w:rsid w:val="00807B18"/>
    <w:rsid w:val="00813245"/>
    <w:rsid w:val="00841B7F"/>
    <w:rsid w:val="008526E8"/>
    <w:rsid w:val="00863595"/>
    <w:rsid w:val="008742F0"/>
    <w:rsid w:val="00883FEC"/>
    <w:rsid w:val="008928E1"/>
    <w:rsid w:val="008A56C1"/>
    <w:rsid w:val="008B2833"/>
    <w:rsid w:val="008B4B4B"/>
    <w:rsid w:val="008D672E"/>
    <w:rsid w:val="008E5E09"/>
    <w:rsid w:val="00916525"/>
    <w:rsid w:val="00926BAD"/>
    <w:rsid w:val="0094090E"/>
    <w:rsid w:val="00942B8A"/>
    <w:rsid w:val="00951D0E"/>
    <w:rsid w:val="00955A60"/>
    <w:rsid w:val="0095784A"/>
    <w:rsid w:val="00964DAA"/>
    <w:rsid w:val="00965F58"/>
    <w:rsid w:val="009713B5"/>
    <w:rsid w:val="00971A95"/>
    <w:rsid w:val="009761E3"/>
    <w:rsid w:val="009849A6"/>
    <w:rsid w:val="00985CB7"/>
    <w:rsid w:val="00993CD6"/>
    <w:rsid w:val="00993FB8"/>
    <w:rsid w:val="009C5E52"/>
    <w:rsid w:val="009D569D"/>
    <w:rsid w:val="009E42E6"/>
    <w:rsid w:val="009E4BBB"/>
    <w:rsid w:val="009E7F74"/>
    <w:rsid w:val="009F6B47"/>
    <w:rsid w:val="00A013F8"/>
    <w:rsid w:val="00A32721"/>
    <w:rsid w:val="00A45655"/>
    <w:rsid w:val="00A462CF"/>
    <w:rsid w:val="00A534AD"/>
    <w:rsid w:val="00A65BEB"/>
    <w:rsid w:val="00A72A5A"/>
    <w:rsid w:val="00A81070"/>
    <w:rsid w:val="00A81F45"/>
    <w:rsid w:val="00A84084"/>
    <w:rsid w:val="00AA1D60"/>
    <w:rsid w:val="00AB0437"/>
    <w:rsid w:val="00AB4BF7"/>
    <w:rsid w:val="00AB6BD3"/>
    <w:rsid w:val="00AC0647"/>
    <w:rsid w:val="00AC4148"/>
    <w:rsid w:val="00AC77C1"/>
    <w:rsid w:val="00AD2243"/>
    <w:rsid w:val="00AF3847"/>
    <w:rsid w:val="00AF6702"/>
    <w:rsid w:val="00B33F19"/>
    <w:rsid w:val="00B35919"/>
    <w:rsid w:val="00B50C98"/>
    <w:rsid w:val="00B57163"/>
    <w:rsid w:val="00B60FE9"/>
    <w:rsid w:val="00B62B86"/>
    <w:rsid w:val="00B64092"/>
    <w:rsid w:val="00B75709"/>
    <w:rsid w:val="00B82452"/>
    <w:rsid w:val="00B8350A"/>
    <w:rsid w:val="00B97210"/>
    <w:rsid w:val="00BA060D"/>
    <w:rsid w:val="00BA1DFA"/>
    <w:rsid w:val="00BA56FF"/>
    <w:rsid w:val="00BB2B06"/>
    <w:rsid w:val="00BB346E"/>
    <w:rsid w:val="00BC54A4"/>
    <w:rsid w:val="00BC7E0A"/>
    <w:rsid w:val="00BD05B5"/>
    <w:rsid w:val="00BD587B"/>
    <w:rsid w:val="00BE05E9"/>
    <w:rsid w:val="00BE1A53"/>
    <w:rsid w:val="00BE48A9"/>
    <w:rsid w:val="00C02CBE"/>
    <w:rsid w:val="00C07403"/>
    <w:rsid w:val="00C13216"/>
    <w:rsid w:val="00C16B54"/>
    <w:rsid w:val="00C2084C"/>
    <w:rsid w:val="00C212E6"/>
    <w:rsid w:val="00C23FB0"/>
    <w:rsid w:val="00C32190"/>
    <w:rsid w:val="00C464C9"/>
    <w:rsid w:val="00C62CDA"/>
    <w:rsid w:val="00C636D0"/>
    <w:rsid w:val="00C74B6D"/>
    <w:rsid w:val="00C7549A"/>
    <w:rsid w:val="00C759B4"/>
    <w:rsid w:val="00C776C2"/>
    <w:rsid w:val="00C82D97"/>
    <w:rsid w:val="00C836C0"/>
    <w:rsid w:val="00C855AD"/>
    <w:rsid w:val="00C9504F"/>
    <w:rsid w:val="00C95082"/>
    <w:rsid w:val="00CA2050"/>
    <w:rsid w:val="00CA440B"/>
    <w:rsid w:val="00CC56F4"/>
    <w:rsid w:val="00CD52C7"/>
    <w:rsid w:val="00CD5AE4"/>
    <w:rsid w:val="00CD6D82"/>
    <w:rsid w:val="00CF5A1F"/>
    <w:rsid w:val="00D03CDA"/>
    <w:rsid w:val="00D208F7"/>
    <w:rsid w:val="00D2298B"/>
    <w:rsid w:val="00D24B52"/>
    <w:rsid w:val="00D26727"/>
    <w:rsid w:val="00D277C4"/>
    <w:rsid w:val="00D46535"/>
    <w:rsid w:val="00D51072"/>
    <w:rsid w:val="00D533A8"/>
    <w:rsid w:val="00D53FE3"/>
    <w:rsid w:val="00D54323"/>
    <w:rsid w:val="00D54DF6"/>
    <w:rsid w:val="00D847C8"/>
    <w:rsid w:val="00D87F3B"/>
    <w:rsid w:val="00D97198"/>
    <w:rsid w:val="00DA123B"/>
    <w:rsid w:val="00DB1798"/>
    <w:rsid w:val="00DB3BBA"/>
    <w:rsid w:val="00DB5B28"/>
    <w:rsid w:val="00DB751B"/>
    <w:rsid w:val="00DC54E7"/>
    <w:rsid w:val="00DD667C"/>
    <w:rsid w:val="00DE29F6"/>
    <w:rsid w:val="00DF0824"/>
    <w:rsid w:val="00DF0835"/>
    <w:rsid w:val="00E053E8"/>
    <w:rsid w:val="00E13CB8"/>
    <w:rsid w:val="00E14353"/>
    <w:rsid w:val="00E25A72"/>
    <w:rsid w:val="00E2600F"/>
    <w:rsid w:val="00E40825"/>
    <w:rsid w:val="00E4230A"/>
    <w:rsid w:val="00E427AD"/>
    <w:rsid w:val="00E51A40"/>
    <w:rsid w:val="00E55D34"/>
    <w:rsid w:val="00E620A8"/>
    <w:rsid w:val="00E677A8"/>
    <w:rsid w:val="00E700B2"/>
    <w:rsid w:val="00E7487D"/>
    <w:rsid w:val="00E80E77"/>
    <w:rsid w:val="00E851A8"/>
    <w:rsid w:val="00EC27B4"/>
    <w:rsid w:val="00EC5ECF"/>
    <w:rsid w:val="00EC6130"/>
    <w:rsid w:val="00EE0F1B"/>
    <w:rsid w:val="00EE589F"/>
    <w:rsid w:val="00EE6C28"/>
    <w:rsid w:val="00F06ADC"/>
    <w:rsid w:val="00F21DFB"/>
    <w:rsid w:val="00F21EFF"/>
    <w:rsid w:val="00F2271E"/>
    <w:rsid w:val="00F314D3"/>
    <w:rsid w:val="00F43F1E"/>
    <w:rsid w:val="00F461C5"/>
    <w:rsid w:val="00F52323"/>
    <w:rsid w:val="00F55E61"/>
    <w:rsid w:val="00F62CF9"/>
    <w:rsid w:val="00F84289"/>
    <w:rsid w:val="00FA5F60"/>
    <w:rsid w:val="00FC25C7"/>
    <w:rsid w:val="00FC72E5"/>
    <w:rsid w:val="00FD337F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46"/>
    <w:pPr>
      <w:widowControl w:val="0"/>
    </w:pPr>
    <w:rPr>
      <w:rFonts w:ascii="Times New Roman" w:hAnsi="Times New Roman"/>
    </w:rPr>
  </w:style>
  <w:style w:type="paragraph" w:styleId="7">
    <w:name w:val="heading 7"/>
    <w:basedOn w:val="a"/>
    <w:next w:val="a"/>
    <w:link w:val="70"/>
    <w:uiPriority w:val="99"/>
    <w:qFormat/>
    <w:rsid w:val="00086EE9"/>
    <w:pPr>
      <w:widowControl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semiHidden/>
    <w:locked/>
    <w:rsid w:val="00086EE9"/>
    <w:rPr>
      <w:rFonts w:ascii="Times New Roman" w:hAnsi="Times New Roman" w:cs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rsid w:val="00086EE9"/>
    <w:pPr>
      <w:widowControl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086EE9"/>
    <w:rPr>
      <w:rFonts w:ascii="Times New Roman" w:hAnsi="Times New Roman" w:cs="Times New Roman"/>
      <w:sz w:val="24"/>
      <w:lang w:eastAsia="ru-RU"/>
    </w:rPr>
  </w:style>
  <w:style w:type="paragraph" w:customStyle="1" w:styleId="a3">
    <w:name w:val="Обратный адрес"/>
    <w:basedOn w:val="a"/>
    <w:uiPriority w:val="99"/>
    <w:rsid w:val="00086EE9"/>
    <w:pPr>
      <w:keepLines/>
      <w:framePr w:w="2640" w:h="1018" w:hSpace="180" w:wrap="notBeside" w:vAnchor="page" w:hAnchor="page" w:x="8821" w:y="721" w:anchorLock="1"/>
      <w:widowControl/>
      <w:spacing w:line="200" w:lineRule="atLeast"/>
      <w:ind w:right="-360"/>
    </w:pPr>
    <w:rPr>
      <w:rFonts w:eastAsia="Times New Roman"/>
      <w:sz w:val="16"/>
    </w:rPr>
  </w:style>
  <w:style w:type="paragraph" w:customStyle="1" w:styleId="1">
    <w:name w:val="Обычный1"/>
    <w:uiPriority w:val="99"/>
    <w:rsid w:val="00086EE9"/>
    <w:pPr>
      <w:widowControl w:val="0"/>
      <w:snapToGrid w:val="0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rsid w:val="00086EE9"/>
    <w:pPr>
      <w:widowControl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86EE9"/>
    <w:rPr>
      <w:rFonts w:ascii="Tahoma" w:hAnsi="Tahoma" w:cs="Times New Roman"/>
      <w:sz w:val="16"/>
      <w:lang w:eastAsia="ru-RU"/>
    </w:rPr>
  </w:style>
  <w:style w:type="paragraph" w:styleId="a6">
    <w:name w:val="List Paragraph"/>
    <w:basedOn w:val="a"/>
    <w:uiPriority w:val="99"/>
    <w:qFormat/>
    <w:rsid w:val="009F6B47"/>
    <w:pPr>
      <w:widowControl/>
      <w:ind w:left="720"/>
      <w:contextualSpacing/>
    </w:pPr>
    <w:rPr>
      <w:rFonts w:eastAsia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rsid w:val="004E5A81"/>
    <w:pPr>
      <w:widowControl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4E5A81"/>
    <w:rPr>
      <w:rFonts w:ascii="Times New Roman" w:hAnsi="Times New Roman" w:cs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9C5E52"/>
    <w:pPr>
      <w:widowControl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847C8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rsid w:val="009C5E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C5E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 Знак1 Знак"/>
    <w:basedOn w:val="a"/>
    <w:uiPriority w:val="99"/>
    <w:rsid w:val="00360146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9">
    <w:name w:val="Знак"/>
    <w:basedOn w:val="a"/>
    <w:uiPriority w:val="99"/>
    <w:rsid w:val="00C23FB0"/>
    <w:pPr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ody Text"/>
    <w:basedOn w:val="a"/>
    <w:link w:val="ab"/>
    <w:uiPriority w:val="99"/>
    <w:unhideWhenUsed/>
    <w:rsid w:val="0060033C"/>
    <w:pPr>
      <w:spacing w:after="120"/>
    </w:pPr>
  </w:style>
  <w:style w:type="character" w:customStyle="1" w:styleId="ab">
    <w:name w:val="Основной текст Знак"/>
    <w:link w:val="aa"/>
    <w:uiPriority w:val="99"/>
    <w:rsid w:val="0060033C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46"/>
    <w:pPr>
      <w:widowControl w:val="0"/>
    </w:pPr>
    <w:rPr>
      <w:rFonts w:ascii="Times New Roman" w:hAnsi="Times New Roman"/>
    </w:rPr>
  </w:style>
  <w:style w:type="paragraph" w:styleId="7">
    <w:name w:val="heading 7"/>
    <w:basedOn w:val="a"/>
    <w:next w:val="a"/>
    <w:link w:val="70"/>
    <w:uiPriority w:val="99"/>
    <w:qFormat/>
    <w:rsid w:val="00086EE9"/>
    <w:pPr>
      <w:widowControl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semiHidden/>
    <w:locked/>
    <w:rsid w:val="00086EE9"/>
    <w:rPr>
      <w:rFonts w:ascii="Times New Roman" w:hAnsi="Times New Roman" w:cs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rsid w:val="00086EE9"/>
    <w:pPr>
      <w:widowControl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086EE9"/>
    <w:rPr>
      <w:rFonts w:ascii="Times New Roman" w:hAnsi="Times New Roman" w:cs="Times New Roman"/>
      <w:sz w:val="24"/>
      <w:lang w:eastAsia="ru-RU"/>
    </w:rPr>
  </w:style>
  <w:style w:type="paragraph" w:customStyle="1" w:styleId="a3">
    <w:name w:val="Обратный адрес"/>
    <w:basedOn w:val="a"/>
    <w:uiPriority w:val="99"/>
    <w:rsid w:val="00086EE9"/>
    <w:pPr>
      <w:keepLines/>
      <w:framePr w:w="2640" w:h="1018" w:hSpace="180" w:wrap="notBeside" w:vAnchor="page" w:hAnchor="page" w:x="8821" w:y="721" w:anchorLock="1"/>
      <w:widowControl/>
      <w:spacing w:line="200" w:lineRule="atLeast"/>
      <w:ind w:right="-360"/>
    </w:pPr>
    <w:rPr>
      <w:rFonts w:eastAsia="Times New Roman"/>
      <w:sz w:val="16"/>
    </w:rPr>
  </w:style>
  <w:style w:type="paragraph" w:customStyle="1" w:styleId="1">
    <w:name w:val="Обычный1"/>
    <w:uiPriority w:val="99"/>
    <w:rsid w:val="00086EE9"/>
    <w:pPr>
      <w:widowControl w:val="0"/>
      <w:snapToGrid w:val="0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rsid w:val="00086EE9"/>
    <w:pPr>
      <w:widowControl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86EE9"/>
    <w:rPr>
      <w:rFonts w:ascii="Tahoma" w:hAnsi="Tahoma" w:cs="Times New Roman"/>
      <w:sz w:val="16"/>
      <w:lang w:eastAsia="ru-RU"/>
    </w:rPr>
  </w:style>
  <w:style w:type="paragraph" w:styleId="a6">
    <w:name w:val="List Paragraph"/>
    <w:basedOn w:val="a"/>
    <w:uiPriority w:val="99"/>
    <w:qFormat/>
    <w:rsid w:val="009F6B47"/>
    <w:pPr>
      <w:widowControl/>
      <w:ind w:left="720"/>
      <w:contextualSpacing/>
    </w:pPr>
    <w:rPr>
      <w:rFonts w:eastAsia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rsid w:val="004E5A81"/>
    <w:pPr>
      <w:widowControl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4E5A81"/>
    <w:rPr>
      <w:rFonts w:ascii="Times New Roman" w:hAnsi="Times New Roman" w:cs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9C5E52"/>
    <w:pPr>
      <w:widowControl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847C8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rsid w:val="009C5E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C5E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 Знак1 Знак"/>
    <w:basedOn w:val="a"/>
    <w:uiPriority w:val="99"/>
    <w:rsid w:val="00360146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9">
    <w:name w:val="Знак"/>
    <w:basedOn w:val="a"/>
    <w:uiPriority w:val="99"/>
    <w:rsid w:val="00C23FB0"/>
    <w:pPr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ody Text"/>
    <w:basedOn w:val="a"/>
    <w:link w:val="ab"/>
    <w:uiPriority w:val="99"/>
    <w:unhideWhenUsed/>
    <w:rsid w:val="0060033C"/>
    <w:pPr>
      <w:spacing w:after="120"/>
    </w:pPr>
  </w:style>
  <w:style w:type="character" w:customStyle="1" w:styleId="ab">
    <w:name w:val="Основной текст Знак"/>
    <w:link w:val="aa"/>
    <w:uiPriority w:val="99"/>
    <w:rsid w:val="0060033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0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(Тыва) ГУ УНД</dc:creator>
  <cp:lastModifiedBy>Максимович</cp:lastModifiedBy>
  <cp:revision>2</cp:revision>
  <cp:lastPrinted>2014-11-12T02:26:00Z</cp:lastPrinted>
  <dcterms:created xsi:type="dcterms:W3CDTF">2020-12-14T09:56:00Z</dcterms:created>
  <dcterms:modified xsi:type="dcterms:W3CDTF">2020-12-14T09:56:00Z</dcterms:modified>
</cp:coreProperties>
</file>